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76 vom 5. Juni 1989</w:t>
      </w:r>
    </w:p>
    <w:p>
      <w:r>
        <w:t>Bundesgericht (BGE), 1989-06-05, DE</w:t>
      </w:r>
    </w:p>
    <w:p>
      <w:r>
        <w:rPr>
          <w:b/>
        </w:rPr>
        <w:t xml:space="preserve">Quelle: </w:t>
      </w:r>
      <w:r>
        <w:t>https://mcp.opencaselaw.ch/entscheid/bge_115 IA 76</w:t>
      </w:r>
    </w:p>
    <w:p>
      <w:r>
        <w:t>FR: BGE 115 IA 76 du 5 juin 1989</w:t>
      </w:r>
    </w:p>
    <w:p>
      <w:r>
        <w:t>IT: BGE 115 IA 76 del 5 giugno 1989</w:t>
      </w:r>
    </w:p>
    <w:p>
      <w:pPr>
        <w:pStyle w:val="Heading2"/>
      </w:pPr>
      <w:r>
        <w:t>Regeste</w:t>
      </w:r>
    </w:p>
    <w:p>
      <w:r>
        <w:t>Regeste Art. 4 BV; Submission: Arbeits- und Lieferungsvergebung. 1. Die Vergebung öffentlicher Arbeiten in einem durch das kantonale Recht geordneten Submissionsverfahren stellt keine Verfügung i.S. von Art. 84 (bzw. 97) OG dar (E. 1b). 2. Die Nichtberücksichtigung eines Submittenten verletzt den Bewerber weder in seinen Rechten noch in seinen rechtlich geschützten Interessen, weshalb er nach Art. 88 OG zur Sache nicht legitimiert ist (E. 1c). Trotz fehlender Legitimation in der Sache selbst kann der Beschwerdeführer die Verletzung von kantonalen Verfahrensvorschriften rügen, deren Missachtung eine formelle Rechtsverweigerung darstellt. 3. Im Submissionsverfahren zur Vergebung von Arbeiten ist die staatsrechtliche Beschwerde nur dann zulässig, wenn Submissionsbestimmungen verletzt werden, die den Schutz der unmittelbaren Interessen der Bewerber bezwecken (E. 1d). Art. 9 Abs. 2 der Submissionsverordnung des Kantons Graubünden (Verbot, nachträgliche Angebote anzunehmen und zu berücksichtigen) bezweckt nach Wortlaut und Sinn auch den Schutz der unmittelbaren Interessen der einzelnen Bewerber (E. 2).</w:t>
      </w:r>
    </w:p>
    <w:p>
      <w:pPr>
        <w:pStyle w:val="Heading2"/>
      </w:pPr>
      <w:r>
        <w:t>Erwägungen</w:t>
      </w:r>
    </w:p>
    <w:p>
      <w:r>
        <w:rPr>
          <w:b/>
        </w:rPr>
        <w:t>E. 1</w:t>
      </w:r>
    </w:p>
    <w:p>
      <w:r>
        <w:t>a) Die Beschwerde, die wegen Verletzung von Art. 4 BV erhoben wird, richtet sich gegen einen kantonalen, letztinstanzlichen Endentscheid, gegen den auch im Bund kein anderes Rechtsmittel zur Verfügung steht. In dieser Hinsicht sind damit die Eintretensvoraussetzungen von Art. 84 Abs. 2, 86 und 87 OG erfüllt. b) Das Bundesgericht geht in ständiger Praxis davon aus, dass die Vergebung öffentlicher Arbeiten in einem durch das kantonale Recht geordneten Submissionsverfahren ein nicht mit staatsrechtlicher Beschwerde anfechtbarer Akt ist, weil dieser keine Verfügung im Sinne von Art. 84 (bzw. 97) OG darstellt ( BGE 106 Ia 325 /6 E. 3a; BGE 103 Ib 156 E. 1 und 2, mit Hinweisen; BGE 101 IV 410 /1 E. 1b). Es besteht im vorliegenden Fall kein Anlass, auf die Rechtsprechung bezüglich der Rechtsnatur des Zuschlags zurückzukommen. c) Nach Art. 88 OG steht das Recht zur Beschwerdeführung Bürgern (Privaten) und Korporationen bezüglich solcher Rechtsverletzungen zu, die sie durch allgemein verbindliche oder sie persönlich treffende Erlasse oder Verfügungen erlitten haben. Gemäss ständiger Rechtsprechung ermöglicht die staatsrechtliche Beschwerde lediglich die Geltendmachung rechtlich geschützter eigener Interessen. Zur Verfolgung bloss tatsächlicher Interessen wie auch zur Geltendmachung allgemeiner öffentlicher Interessen ist die staatsrechtliche Beschwerde nicht gegeben. Die Legitimation zur Sache bestimmt sich ausschliesslich nach Art. 88 OG . Der Umstand, dass ein Beschwerdeführer im kantonalen Verfahren BGE 115 Ia 76 S. 79 Parteistellung hatte, ist nicht entscheidend ( BGE 114 Ia 94 E. 1, mit Hinweis). Die Nichtberücksichtigung eines Submittenten verletzt den Bewerber weder in seinen Rechten noch in seinen rechtlich geschützten Interessen, weshalb er nach Art. 88 OG zur Sache nicht legitimiert ist ( BGE 106 Ia 326 E. 3b, mit Hinweisen). d) Trotz fehlender Legitimation in der Sache selbst kann der Beschwerdeführer die Verletzung von kantonalen Verfahrensvorschriften rügen, deren Missachtung eine formelle Rechtsverweigerung darstellt ( BGE 113 Ia 250 E. 3; BGE 106 Ib 132 E. 3; BGE 105 Ia 276 E. d). Das nach Art. 88 OG erforderliche rechtlich geschützte Interesse ergibt sich diesfalls nicht aus einer Berechtigung in der Sache, sondern aus einer Berechtigung am Verfahren.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Im Submissionsverfahren zur Vergebung von Arbeiten ist die in der Berechtigung am Verfahren gründende Legitimation vorbehältlich abweichender kantonaler Regelung nicht generell gegeben. Die staatsrechtliche Beschwerde ist vielmehr nur dann zulässig, wenn Submissionsbestimmungen verletzt werden, die (vollumfänglich oder teilweise) den Schutz der unmittelbaren Interessen der Bewerber bezwecken: Einzig in dem Umfang, in dem die Behörde solche Vorschriften anwendet, besteht eine nach Art. 84 OG anfechtbare Verfügung und ist die Beschwerdelegitimation des Bewerbers nach Art. 88 OG gegeben ( BGE 106 Ia 327 E. 3c). Ob eine Submissionsbestimmung (auch) dem Schutz der unmittelbaren Interessen der Bewerber dient, ist durch Auslegung zu ermitteln. Wird die Frage bejaht, so ist auf die staatsrechtliche Beschwerde wegen Verletzung der betreffenden Verfahrensvorschrift - bei im übrigen gegebenen Voraussetzungen - einzutreten.</w:t>
      </w:r>
    </w:p>
    <w:p>
      <w:r>
        <w:rPr>
          <w:b/>
        </w:rPr>
        <w:t>E. 2</w:t>
      </w:r>
    </w:p>
    <w:p>
      <w:r>
        <w:t>a) Im Kanton Graubünden ist das Submissionswesen in der Verordnung des Grossen Rates vom 28. Mai 1919 über das Submissionswesen (teilrevidiert am 1. Oktober 1982; im folgenden BGE 115 Ia 76 S. 80 SubV) geregelt. Art. 9 Abs. 2 SubV bestimmt, dass nachträgliche Angebote nicht mehr angenommen und berücksichtigt werden dürfen. ... b) Die Beschwerdeführer rügen eine willkürliche Anwendung der Verfahrensbestimmungen der SubV, insbesondere von Art. 9 Abs. 2. Diese Bestimmung dient in erster Linie einem geordneten Verfahrensablauf zur Ermittlung der richtigen, durch das öffentliche Interesse gebotenen Wahl durch die Submissionsbehörde. Daneben bezweckt sie aber nach Wortlaut und Sinn auch den Schutz der unmittelbaren Interessen der einzelnen Bewerber, indem diese vor nachträglichen Angeboten geschützt werden und ohne weiteres die Ausscheidung verspäteter Offerten verlangen können. Die vorgebrachte Rüge ist im staatsrechtlichen Beschwerdeverfahren also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